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9E5C8" w14:textId="77777777" w:rsidR="00113C5A" w:rsidRDefault="00113C5A" w:rsidP="00AC35C4">
      <w:pPr>
        <w:pStyle w:val="F2-zkladn"/>
        <w:rPr>
          <w:b/>
          <w:sz w:val="28"/>
          <w:szCs w:val="28"/>
        </w:rPr>
      </w:pPr>
    </w:p>
    <w:p w14:paraId="0160FE1B"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0100FA20"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27B57ED4" wp14:editId="78CF40D0">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1D884677" w14:textId="6F710A5C" w:rsidR="000A2833" w:rsidRPr="00B362ED" w:rsidRDefault="00BE7B01" w:rsidP="00AC35C4">
      <w:pPr>
        <w:pStyle w:val="F2-zkladn"/>
        <w:tabs>
          <w:tab w:val="right" w:pos="9070"/>
        </w:tabs>
      </w:pPr>
      <w:r w:rsidRPr="00B362ED">
        <w:rPr>
          <w:noProof/>
        </w:rPr>
        <mc:AlternateContent>
          <mc:Choice Requires="wps">
            <w:drawing>
              <wp:inline distT="0" distB="0" distL="0" distR="0" wp14:anchorId="41F65570" wp14:editId="2238767E">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334B23">
        <w:t>8</w:t>
      </w:r>
      <w:r w:rsidR="00A30105">
        <w:t xml:space="preserve">. </w:t>
      </w:r>
      <w:r w:rsidR="00334B23">
        <w:t>dubna</w:t>
      </w:r>
      <w:r w:rsidR="00A30105">
        <w:t xml:space="preserve"> 20</w:t>
      </w:r>
      <w:r w:rsidR="00334B23">
        <w:t>20</w:t>
      </w:r>
    </w:p>
    <w:p w14:paraId="100401FC" w14:textId="3F99BF67" w:rsidR="00A30105" w:rsidRDefault="00334B23" w:rsidP="004F7624">
      <w:pPr>
        <w:pStyle w:val="FormtovanvHTML"/>
        <w:shd w:val="clear" w:color="auto" w:fill="FFFFFF"/>
        <w:rPr>
          <w:rFonts w:ascii="Arial" w:hAnsi="Arial" w:cs="Arial"/>
          <w:b/>
          <w:sz w:val="28"/>
          <w:szCs w:val="28"/>
          <w:lang w:val="cs-CZ" w:eastAsia="cs-CZ"/>
        </w:rPr>
      </w:pPr>
      <w:r>
        <w:rPr>
          <w:rFonts w:ascii="Arial" w:hAnsi="Arial" w:cs="Arial"/>
          <w:b/>
          <w:sz w:val="28"/>
          <w:szCs w:val="28"/>
          <w:lang w:val="cs-CZ" w:eastAsia="cs-CZ"/>
        </w:rPr>
        <w:t>P</w:t>
      </w:r>
      <w:r w:rsidRPr="00334B23">
        <w:rPr>
          <w:rFonts w:ascii="Arial" w:hAnsi="Arial" w:cs="Arial"/>
          <w:b/>
          <w:sz w:val="28"/>
          <w:szCs w:val="28"/>
          <w:lang w:val="cs-CZ" w:eastAsia="cs-CZ"/>
        </w:rPr>
        <w:t>ár poznámek k vyplácení dividend</w:t>
      </w:r>
    </w:p>
    <w:p w14:paraId="6AC4294C" w14:textId="52332F25" w:rsidR="00334B23" w:rsidRPr="00334B23" w:rsidRDefault="00334B23" w:rsidP="00A30105">
      <w:pPr>
        <w:pStyle w:val="F2-zkladn"/>
        <w:tabs>
          <w:tab w:val="right" w:pos="9070"/>
        </w:tabs>
        <w:rPr>
          <w:b/>
          <w:lang w:eastAsia="x-none"/>
        </w:rPr>
      </w:pPr>
      <w:r>
        <w:rPr>
          <w:b/>
          <w:lang w:eastAsia="x-none"/>
        </w:rPr>
        <w:t xml:space="preserve">Komentář </w:t>
      </w:r>
      <w:r w:rsidRPr="00334B23">
        <w:rPr>
          <w:b/>
          <w:lang w:val="x-none" w:eastAsia="x-none"/>
        </w:rPr>
        <w:t>Romain</w:t>
      </w:r>
      <w:r>
        <w:rPr>
          <w:b/>
          <w:lang w:eastAsia="x-none"/>
        </w:rPr>
        <w:t>a</w:t>
      </w:r>
      <w:r w:rsidRPr="00334B23">
        <w:rPr>
          <w:b/>
          <w:lang w:val="x-none" w:eastAsia="x-none"/>
        </w:rPr>
        <w:t xml:space="preserve"> </w:t>
      </w:r>
      <w:proofErr w:type="spellStart"/>
      <w:r w:rsidRPr="00334B23">
        <w:rPr>
          <w:b/>
          <w:lang w:val="x-none" w:eastAsia="x-none"/>
        </w:rPr>
        <w:t>Boscher</w:t>
      </w:r>
      <w:r>
        <w:rPr>
          <w:b/>
          <w:lang w:eastAsia="x-none"/>
        </w:rPr>
        <w:t>a</w:t>
      </w:r>
      <w:proofErr w:type="spellEnd"/>
      <w:r w:rsidRPr="00334B23">
        <w:rPr>
          <w:b/>
          <w:lang w:val="x-none" w:eastAsia="x-none"/>
        </w:rPr>
        <w:t xml:space="preserve">, </w:t>
      </w:r>
      <w:proofErr w:type="spellStart"/>
      <w:r w:rsidRPr="00334B23">
        <w:rPr>
          <w:b/>
          <w:lang w:val="x-none" w:eastAsia="x-none"/>
        </w:rPr>
        <w:t>Global</w:t>
      </w:r>
      <w:proofErr w:type="spellEnd"/>
      <w:r w:rsidRPr="00334B23">
        <w:rPr>
          <w:b/>
          <w:lang w:val="x-none" w:eastAsia="x-none"/>
        </w:rPr>
        <w:t xml:space="preserve"> </w:t>
      </w:r>
      <w:proofErr w:type="spellStart"/>
      <w:r w:rsidRPr="00334B23">
        <w:rPr>
          <w:b/>
          <w:lang w:val="x-none" w:eastAsia="x-none"/>
        </w:rPr>
        <w:t>Chief</w:t>
      </w:r>
      <w:proofErr w:type="spellEnd"/>
      <w:r w:rsidRPr="00334B23">
        <w:rPr>
          <w:b/>
          <w:lang w:val="x-none" w:eastAsia="x-none"/>
        </w:rPr>
        <w:t xml:space="preserve"> </w:t>
      </w:r>
      <w:proofErr w:type="spellStart"/>
      <w:r w:rsidRPr="00334B23">
        <w:rPr>
          <w:b/>
          <w:lang w:val="x-none" w:eastAsia="x-none"/>
        </w:rPr>
        <w:t>Investment</w:t>
      </w:r>
      <w:proofErr w:type="spellEnd"/>
      <w:r w:rsidRPr="00334B23">
        <w:rPr>
          <w:b/>
          <w:lang w:val="x-none" w:eastAsia="x-none"/>
        </w:rPr>
        <w:t xml:space="preserve"> </w:t>
      </w:r>
      <w:proofErr w:type="spellStart"/>
      <w:r w:rsidRPr="00334B23">
        <w:rPr>
          <w:b/>
          <w:lang w:val="x-none" w:eastAsia="x-none"/>
        </w:rPr>
        <w:t>Officer</w:t>
      </w:r>
      <w:proofErr w:type="spellEnd"/>
      <w:r w:rsidRPr="00334B23">
        <w:rPr>
          <w:b/>
          <w:lang w:val="x-none" w:eastAsia="x-none"/>
        </w:rPr>
        <w:t xml:space="preserve"> (CIO) </w:t>
      </w:r>
      <w:proofErr w:type="spellStart"/>
      <w:r w:rsidRPr="00334B23">
        <w:rPr>
          <w:b/>
          <w:lang w:val="x-none" w:eastAsia="x-none"/>
        </w:rPr>
        <w:t>Equities</w:t>
      </w:r>
      <w:proofErr w:type="spellEnd"/>
      <w:r w:rsidRPr="00334B23">
        <w:rPr>
          <w:b/>
          <w:lang w:val="x-none" w:eastAsia="x-none"/>
        </w:rPr>
        <w:t xml:space="preserve">, </w:t>
      </w:r>
      <w:proofErr w:type="spellStart"/>
      <w:r w:rsidRPr="00334B23">
        <w:rPr>
          <w:b/>
          <w:lang w:val="x-none" w:eastAsia="x-none"/>
        </w:rPr>
        <w:t>Fidelity</w:t>
      </w:r>
      <w:proofErr w:type="spellEnd"/>
      <w:r w:rsidRPr="00334B23">
        <w:rPr>
          <w:b/>
          <w:lang w:val="x-none" w:eastAsia="x-none"/>
        </w:rPr>
        <w:t xml:space="preserve"> International</w:t>
      </w:r>
      <w:r>
        <w:rPr>
          <w:b/>
          <w:lang w:eastAsia="x-none"/>
        </w:rPr>
        <w:t>.</w:t>
      </w:r>
    </w:p>
    <w:p w14:paraId="1A724D55" w14:textId="77777777" w:rsidR="00334B23" w:rsidRDefault="00334B23" w:rsidP="00334B23">
      <w:pPr>
        <w:pStyle w:val="F2-zkladn"/>
        <w:numPr>
          <w:ilvl w:val="0"/>
          <w:numId w:val="44"/>
        </w:numPr>
        <w:tabs>
          <w:tab w:val="right" w:pos="9070"/>
        </w:tabs>
      </w:pPr>
      <w:r>
        <w:t>Škrty dividend, nebo častěji jejich odklad, se stávají celosvětovou praxí.</w:t>
      </w:r>
    </w:p>
    <w:p w14:paraId="2E0D7902" w14:textId="77777777" w:rsidR="00334B23" w:rsidRDefault="00334B23" w:rsidP="00334B23">
      <w:pPr>
        <w:pStyle w:val="F2-zkladn"/>
        <w:numPr>
          <w:ilvl w:val="0"/>
          <w:numId w:val="44"/>
        </w:numPr>
        <w:tabs>
          <w:tab w:val="right" w:pos="9070"/>
        </w:tabs>
      </w:pPr>
      <w:r>
        <w:t xml:space="preserve">Ve </w:t>
      </w:r>
      <w:proofErr w:type="spellStart"/>
      <w:r>
        <w:t>Fidelity</w:t>
      </w:r>
      <w:proofErr w:type="spellEnd"/>
      <w:r>
        <w:t xml:space="preserve"> jsme sepsali výzvu evropským bankám zaměřenou právě na podporu rozumných odkladů dividend v boji proti finančním rizikům v souvislosti s Covid-19. Banky spolu s vládami musí hrát klíčovou roli a zajištění zotavení ekonomik.</w:t>
      </w:r>
    </w:p>
    <w:p w14:paraId="55E802BA" w14:textId="77777777" w:rsidR="00334B23" w:rsidRDefault="00334B23" w:rsidP="00334B23">
      <w:pPr>
        <w:pStyle w:val="F2-zkladn"/>
        <w:numPr>
          <w:ilvl w:val="0"/>
          <w:numId w:val="44"/>
        </w:numPr>
        <w:tabs>
          <w:tab w:val="right" w:pos="9070"/>
        </w:tabs>
      </w:pPr>
      <w:r>
        <w:t>Švédská nebo francouzská vláda uvedla, že byste neměli očekávat státní podporu, pokud jste během tohoto období akcionářům vyplatili dividendy.  Definice státní podpory by mohla být širší, než se očekávalo. To znamená, že i když vaše společnost nepotřebuje pomoc, tak jestliže stát dotuje náklady na zaměstnance vzniklé ve spojitosti s dočasně propuštěnými pracovníky, neměli byste vyplácet dividendy.</w:t>
      </w:r>
    </w:p>
    <w:p w14:paraId="40BD7638" w14:textId="77777777" w:rsidR="00334B23" w:rsidRDefault="00334B23" w:rsidP="00334B23">
      <w:pPr>
        <w:pStyle w:val="F2-zkladn"/>
        <w:numPr>
          <w:ilvl w:val="0"/>
          <w:numId w:val="44"/>
        </w:numPr>
        <w:tabs>
          <w:tab w:val="right" w:pos="9070"/>
        </w:tabs>
      </w:pPr>
      <w:r>
        <w:t xml:space="preserve">V souladu s tím již trhy v cenách zohledňují nižší dividendy v letech 2020 a 2021. Je to přesně zachyceno v cenách futures na rok 2020 a 2021 a v očekávaných dividendách. Přesněji řečeno, v Euro </w:t>
      </w:r>
      <w:proofErr w:type="spellStart"/>
      <w:r>
        <w:t>Stoxx</w:t>
      </w:r>
      <w:proofErr w:type="spellEnd"/>
      <w:r>
        <w:t xml:space="preserve"> 50 klesl roční dividendový index </w:t>
      </w:r>
      <w:proofErr w:type="spellStart"/>
      <w:r>
        <w:t>Future</w:t>
      </w:r>
      <w:proofErr w:type="spellEnd"/>
      <w:r>
        <w:t xml:space="preserve"> o 53 % YTD pro rok 2020 a ještě více pro rok 2021. V USA u SP500 je pokles o 26 %.</w:t>
      </w:r>
    </w:p>
    <w:p w14:paraId="3F6D2001" w14:textId="77777777" w:rsidR="00334B23" w:rsidRDefault="00334B23" w:rsidP="00334B23">
      <w:pPr>
        <w:pStyle w:val="F2-zkladn"/>
        <w:numPr>
          <w:ilvl w:val="0"/>
          <w:numId w:val="44"/>
        </w:numPr>
        <w:tabs>
          <w:tab w:val="right" w:pos="9070"/>
        </w:tabs>
      </w:pPr>
      <w:r>
        <w:t>Odkupy akcií jsou masivně pozastavovány a valné hromady jsou mimo jiné také odkládány z bezpečnostních důvodů.</w:t>
      </w:r>
    </w:p>
    <w:p w14:paraId="5871A226" w14:textId="77777777" w:rsidR="00334B23" w:rsidRDefault="00334B23" w:rsidP="00334B23">
      <w:pPr>
        <w:pStyle w:val="F2-zkladn"/>
        <w:numPr>
          <w:ilvl w:val="0"/>
          <w:numId w:val="44"/>
        </w:numPr>
        <w:tabs>
          <w:tab w:val="right" w:pos="9070"/>
        </w:tabs>
      </w:pPr>
      <w:r>
        <w:t>Ve válečném období, pokud budeme používat politický slovník, je prvořadou prioritou přežít. Cílem korporací je zajistit, aby přežily tříměsíční pozastavení své činnosti.</w:t>
      </w:r>
    </w:p>
    <w:p w14:paraId="1A667934" w14:textId="77777777" w:rsidR="00334B23" w:rsidRDefault="00334B23" w:rsidP="00334B23">
      <w:pPr>
        <w:pStyle w:val="F2-zkladn"/>
        <w:numPr>
          <w:ilvl w:val="0"/>
          <w:numId w:val="44"/>
        </w:numPr>
        <w:tabs>
          <w:tab w:val="right" w:pos="9070"/>
        </w:tabs>
      </w:pPr>
      <w:r>
        <w:t>Neodporujte těmto taktickým rozhodnutím z dlouhodobého pohledu. Aby bylo možné plně těžit z pozitivního výsledku, který potřebujete, musíte přežít nepříznivý vývoj. To je určitě v zájmu akcionářů.</w:t>
      </w:r>
    </w:p>
    <w:p w14:paraId="68447ADB" w14:textId="77777777" w:rsidR="00334B23" w:rsidRDefault="00334B23" w:rsidP="00334B23">
      <w:pPr>
        <w:pStyle w:val="F2-zkladn"/>
        <w:numPr>
          <w:ilvl w:val="0"/>
          <w:numId w:val="44"/>
        </w:numPr>
        <w:tabs>
          <w:tab w:val="right" w:pos="9070"/>
        </w:tabs>
      </w:pPr>
      <w:r>
        <w:t>Víme, že dividendy hrají v ekonomice neocenitelnou roli, zejména pro dlouhodobé spořitele, ale v některých konkrétních případech může být omezení dividendy způsob, jak zachovat dlouhodobou hodnotu vaší investice.</w:t>
      </w:r>
    </w:p>
    <w:p w14:paraId="65FDFA36" w14:textId="262A21E4" w:rsidR="00073A88" w:rsidRDefault="00334B23" w:rsidP="00334B23">
      <w:pPr>
        <w:pStyle w:val="F2-zkladn"/>
        <w:numPr>
          <w:ilvl w:val="0"/>
          <w:numId w:val="44"/>
        </w:numPr>
        <w:tabs>
          <w:tab w:val="right" w:pos="9070"/>
        </w:tabs>
        <w:rPr>
          <w:b/>
        </w:rPr>
      </w:pPr>
      <w:r>
        <w:t>Jsme opravdu přesvědčeni, že v dlouhodobém horizontu musíme stát na dvou nohách, růstu kapitálu a příjmů, nicméně v případě gangrény vám může uříznutí jedné nohy zachránit život.</w:t>
      </w:r>
    </w:p>
    <w:p w14:paraId="1647326E" w14:textId="77777777" w:rsidR="00334B23" w:rsidRDefault="00334B23" w:rsidP="00AC35C4">
      <w:pPr>
        <w:pStyle w:val="F2-zkladn"/>
        <w:tabs>
          <w:tab w:val="right" w:pos="9070"/>
        </w:tabs>
        <w:rPr>
          <w:b/>
        </w:rPr>
      </w:pPr>
    </w:p>
    <w:p w14:paraId="5B74E5C6" w14:textId="642FBBDE" w:rsidR="001A0CB6" w:rsidRPr="009C3DB4" w:rsidRDefault="001A0CB6" w:rsidP="00AC35C4">
      <w:pPr>
        <w:pStyle w:val="F2-zkladn"/>
        <w:tabs>
          <w:tab w:val="right" w:pos="9070"/>
        </w:tabs>
        <w:rPr>
          <w:b/>
        </w:rPr>
      </w:pPr>
      <w:bookmarkStart w:id="0" w:name="_GoBack"/>
      <w:bookmarkEnd w:id="0"/>
      <w:r w:rsidRPr="009C3DB4">
        <w:rPr>
          <w:b/>
        </w:rPr>
        <w:lastRenderedPageBreak/>
        <w:t>Pro více informací kontaktujte:</w:t>
      </w:r>
    </w:p>
    <w:p w14:paraId="2E9FB5F2" w14:textId="77777777" w:rsidR="001A0CB6" w:rsidRPr="009C3DB4" w:rsidRDefault="001A0CB6" w:rsidP="00AC35C4">
      <w:pPr>
        <w:spacing w:before="0" w:line="360" w:lineRule="auto"/>
        <w:rPr>
          <w:b/>
        </w:rPr>
      </w:pPr>
    </w:p>
    <w:p w14:paraId="4013D6A9" w14:textId="77777777" w:rsidR="001A0CB6" w:rsidRPr="009C3DB4" w:rsidRDefault="001A0CB6" w:rsidP="00AC35C4">
      <w:pPr>
        <w:spacing w:before="0" w:line="360" w:lineRule="auto"/>
        <w:rPr>
          <w:b/>
        </w:rPr>
      </w:pPr>
      <w:smartTag w:uri="urn:schemas-microsoft-com:office:smarttags" w:element="PersonName">
        <w:smartTagPr>
          <w:attr w:name="ProductID" w:val="Marcela Štefcová"/>
        </w:smartTagPr>
        <w:r w:rsidRPr="009C3DB4">
          <w:rPr>
            <w:b/>
          </w:rPr>
          <w:t>Marcela Štefcová</w:t>
        </w:r>
      </w:smartTag>
    </w:p>
    <w:p w14:paraId="541EF1C0" w14:textId="77777777" w:rsidR="001A0CB6" w:rsidRPr="009C3DB4" w:rsidRDefault="001A0CB6" w:rsidP="00AC35C4">
      <w:pPr>
        <w:spacing w:before="0" w:line="240" w:lineRule="atLeast"/>
        <w:rPr>
          <w:b/>
          <w:bCs/>
        </w:rPr>
      </w:pPr>
      <w:r w:rsidRPr="009C3DB4">
        <w:rPr>
          <w:b/>
          <w:bCs/>
        </w:rPr>
        <w:t>Crest Communications, a.s.</w:t>
      </w:r>
    </w:p>
    <w:p w14:paraId="422D4338" w14:textId="77777777" w:rsidR="001A0CB6" w:rsidRPr="009C3DB4" w:rsidRDefault="001A0CB6" w:rsidP="00AC35C4">
      <w:pPr>
        <w:spacing w:before="0" w:line="240" w:lineRule="atLeast"/>
      </w:pPr>
    </w:p>
    <w:p w14:paraId="5D788778" w14:textId="77777777" w:rsidR="001A0CB6" w:rsidRPr="009C3DB4" w:rsidRDefault="001A0CB6" w:rsidP="00AC35C4">
      <w:pPr>
        <w:spacing w:before="0" w:line="240" w:lineRule="atLeast"/>
      </w:pPr>
      <w:r w:rsidRPr="009C3DB4">
        <w:t>Ostrovní 126/30</w:t>
      </w:r>
    </w:p>
    <w:p w14:paraId="73F1F569" w14:textId="77777777" w:rsidR="001A0CB6" w:rsidRPr="009C3DB4" w:rsidRDefault="001A0CB6" w:rsidP="00AC35C4">
      <w:pPr>
        <w:spacing w:before="0" w:line="240" w:lineRule="atLeast"/>
      </w:pPr>
      <w:r w:rsidRPr="009C3DB4">
        <w:t>110 00 Praha 1</w:t>
      </w:r>
    </w:p>
    <w:p w14:paraId="2460AFC9"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2C448890" w14:textId="77777777" w:rsidR="001A0CB6" w:rsidRPr="009C3DB4" w:rsidRDefault="00EF389F"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5C37CE48" w14:textId="77777777" w:rsidR="001A0CB6" w:rsidRPr="009C3DB4" w:rsidRDefault="001A0CB6" w:rsidP="00AC35C4">
      <w:pPr>
        <w:spacing w:before="0" w:line="240" w:lineRule="atLeast"/>
      </w:pPr>
      <w:r w:rsidRPr="009C3DB4">
        <w:rPr>
          <w:color w:val="000000"/>
        </w:rPr>
        <w:t xml:space="preserve">e-mail: </w:t>
      </w:r>
      <w:hyperlink r:id="rId9" w:history="1">
        <w:r w:rsidRPr="009C3DB4">
          <w:rPr>
            <w:rStyle w:val="Hypertextovodkaz"/>
            <w:color w:val="990033"/>
          </w:rPr>
          <w:t>marcela.stefcova@crestcom.cz</w:t>
        </w:r>
      </w:hyperlink>
    </w:p>
    <w:p w14:paraId="63F1956B" w14:textId="77777777" w:rsidR="00C16BE6" w:rsidRDefault="00C16BE6" w:rsidP="00C16BE6">
      <w:pPr>
        <w:pStyle w:val="F2-zkladn"/>
        <w:rPr>
          <w:b/>
        </w:rPr>
      </w:pPr>
      <w:r w:rsidRPr="009C3DB4">
        <w:rPr>
          <w:b/>
        </w:rPr>
        <w:t>Informace pro editory:</w:t>
      </w:r>
    </w:p>
    <w:p w14:paraId="45FE0DFA"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3E6AFD12" w14:textId="77777777" w:rsidR="00C16BE6" w:rsidRPr="00FA269B" w:rsidRDefault="00C16BE6" w:rsidP="00C16BE6">
      <w:pPr>
        <w:pStyle w:val="F2-zkladn"/>
        <w:rPr>
          <w:b/>
        </w:rPr>
      </w:pPr>
      <w:r w:rsidRPr="00FA269B">
        <w:rPr>
          <w:b/>
        </w:rPr>
        <w:t>Upozornění na rizika</w:t>
      </w:r>
    </w:p>
    <w:p w14:paraId="297B7F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Unicredit Bank Czech Republic, a. s., náměstí Republiky 3a, 111 21 Praha 1, nebo na adresách www.fidelity.at, www.fidelity.cz, www.fidelity.sk.</w:t>
      </w:r>
    </w:p>
    <w:p w14:paraId="01E269F0" w14:textId="77777777" w:rsidR="00C16BE6" w:rsidRDefault="00C16BE6" w:rsidP="00C16BE6">
      <w:pPr>
        <w:pStyle w:val="F2-zkladn"/>
        <w:spacing w:line="240" w:lineRule="auto"/>
        <w:rPr>
          <w:b/>
          <w:sz w:val="18"/>
          <w:szCs w:val="18"/>
        </w:rPr>
      </w:pPr>
      <w:r>
        <w:rPr>
          <w:b/>
          <w:sz w:val="18"/>
          <w:szCs w:val="18"/>
        </w:rPr>
        <w:t>Vydává</w:t>
      </w:r>
    </w:p>
    <w:p w14:paraId="6606D1D6"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2EACDAAF"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384E312F"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2AC1A819"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14:paraId="625AA09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49D0CFEC"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6AC57A9B"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34FD7F66"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xml:space="preserve"> Investments should be made on the basis of the current prospectus, the relevant supplement and KIID (key investor information </w:t>
      </w:r>
      <w:r w:rsidRPr="00681745">
        <w:rPr>
          <w:color w:val="000000"/>
          <w:sz w:val="18"/>
          <w:szCs w:val="18"/>
          <w:lang w:val="en-US"/>
        </w:rPr>
        <w:lastRenderedPageBreak/>
        <w:t>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UniCredit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14:paraId="7C0D45E4"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243F33DE"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237DE" w14:textId="77777777" w:rsidR="00EF389F" w:rsidRDefault="00EF389F">
      <w:r>
        <w:separator/>
      </w:r>
    </w:p>
  </w:endnote>
  <w:endnote w:type="continuationSeparator" w:id="0">
    <w:p w14:paraId="01F3BC02" w14:textId="77777777" w:rsidR="00EF389F" w:rsidRDefault="00EF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770F"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DDEE6" w14:textId="77777777" w:rsidR="00EF389F" w:rsidRDefault="00EF389F">
      <w:r>
        <w:separator/>
      </w:r>
    </w:p>
  </w:footnote>
  <w:footnote w:type="continuationSeparator" w:id="0">
    <w:p w14:paraId="30C6BD05" w14:textId="77777777" w:rsidR="00EF389F" w:rsidRDefault="00EF389F">
      <w:r>
        <w:continuationSeparator/>
      </w:r>
    </w:p>
  </w:footnote>
  <w:footnote w:type="continuationNotice" w:id="1">
    <w:p w14:paraId="7C519959" w14:textId="77777777" w:rsidR="00EF389F" w:rsidRDefault="00EF3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3F1C"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6D97" w14:textId="77777777" w:rsidR="001D1343" w:rsidRDefault="00BE7B01">
    <w:pPr>
      <w:pStyle w:val="Zhlav"/>
    </w:pPr>
    <w:r>
      <w:rPr>
        <w:noProof/>
      </w:rPr>
      <w:drawing>
        <wp:anchor distT="0" distB="0" distL="114300" distR="114300" simplePos="0" relativeHeight="251657728" behindDoc="0" locked="0" layoutInCell="1" allowOverlap="1" wp14:anchorId="4580623D" wp14:editId="6945862A">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71210DD9" w14:textId="77777777" w:rsidR="001D1343" w:rsidRDefault="001D1343">
    <w:pPr>
      <w:pStyle w:val="Zhlav"/>
    </w:pPr>
  </w:p>
  <w:p w14:paraId="1C1D2F6D"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C48F014">
      <w:start w:val="1"/>
      <w:numFmt w:val="none"/>
      <w:pStyle w:val="F6-kol"/>
      <w:lvlText w:val="!! ÚKOL !!"/>
      <w:lvlJc w:val="left"/>
      <w:pPr>
        <w:tabs>
          <w:tab w:val="num" w:pos="0"/>
        </w:tabs>
        <w:ind w:left="0" w:firstLine="0"/>
      </w:pPr>
      <w:rPr>
        <w:rFonts w:hint="default"/>
        <w:b/>
        <w:i w:val="0"/>
        <w:color w:val="0000FF"/>
      </w:rPr>
    </w:lvl>
    <w:lvl w:ilvl="1" w:tplc="DB921668">
      <w:start w:val="1"/>
      <w:numFmt w:val="lowerLetter"/>
      <w:lvlText w:val="%2)"/>
      <w:lvlJc w:val="left"/>
      <w:pPr>
        <w:tabs>
          <w:tab w:val="num" w:pos="743"/>
        </w:tabs>
        <w:ind w:left="743" w:hanging="363"/>
      </w:pPr>
      <w:rPr>
        <w:rFonts w:hint="default"/>
        <w:b/>
        <w:i w:val="0"/>
        <w:color w:val="0000FF"/>
      </w:rPr>
    </w:lvl>
    <w:lvl w:ilvl="2" w:tplc="059C7868" w:tentative="1">
      <w:start w:val="1"/>
      <w:numFmt w:val="lowerRoman"/>
      <w:lvlText w:val="%3."/>
      <w:lvlJc w:val="right"/>
      <w:pPr>
        <w:tabs>
          <w:tab w:val="num" w:pos="2160"/>
        </w:tabs>
        <w:ind w:left="2160" w:hanging="180"/>
      </w:pPr>
    </w:lvl>
    <w:lvl w:ilvl="3" w:tplc="B0F05F4C" w:tentative="1">
      <w:start w:val="1"/>
      <w:numFmt w:val="decimal"/>
      <w:lvlText w:val="%4."/>
      <w:lvlJc w:val="left"/>
      <w:pPr>
        <w:tabs>
          <w:tab w:val="num" w:pos="2880"/>
        </w:tabs>
        <w:ind w:left="2880" w:hanging="360"/>
      </w:pPr>
    </w:lvl>
    <w:lvl w:ilvl="4" w:tplc="413AC5E8" w:tentative="1">
      <w:start w:val="1"/>
      <w:numFmt w:val="lowerLetter"/>
      <w:lvlText w:val="%5."/>
      <w:lvlJc w:val="left"/>
      <w:pPr>
        <w:tabs>
          <w:tab w:val="num" w:pos="3600"/>
        </w:tabs>
        <w:ind w:left="3600" w:hanging="360"/>
      </w:pPr>
    </w:lvl>
    <w:lvl w:ilvl="5" w:tplc="FB267C7A" w:tentative="1">
      <w:start w:val="1"/>
      <w:numFmt w:val="lowerRoman"/>
      <w:lvlText w:val="%6."/>
      <w:lvlJc w:val="right"/>
      <w:pPr>
        <w:tabs>
          <w:tab w:val="num" w:pos="4320"/>
        </w:tabs>
        <w:ind w:left="4320" w:hanging="180"/>
      </w:pPr>
    </w:lvl>
    <w:lvl w:ilvl="6" w:tplc="B9849D94" w:tentative="1">
      <w:start w:val="1"/>
      <w:numFmt w:val="decimal"/>
      <w:lvlText w:val="%7."/>
      <w:lvlJc w:val="left"/>
      <w:pPr>
        <w:tabs>
          <w:tab w:val="num" w:pos="5040"/>
        </w:tabs>
        <w:ind w:left="5040" w:hanging="360"/>
      </w:pPr>
    </w:lvl>
    <w:lvl w:ilvl="7" w:tplc="B332F1B2" w:tentative="1">
      <w:start w:val="1"/>
      <w:numFmt w:val="lowerLetter"/>
      <w:lvlText w:val="%8."/>
      <w:lvlJc w:val="left"/>
      <w:pPr>
        <w:tabs>
          <w:tab w:val="num" w:pos="5760"/>
        </w:tabs>
        <w:ind w:left="5760" w:hanging="360"/>
      </w:pPr>
    </w:lvl>
    <w:lvl w:ilvl="8" w:tplc="F45E3C9E"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96221ED"/>
    <w:multiLevelType w:val="hybridMultilevel"/>
    <w:tmpl w:val="98687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5"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FC015B7"/>
    <w:multiLevelType w:val="hybridMultilevel"/>
    <w:tmpl w:val="D40EC4D8"/>
    <w:lvl w:ilvl="0" w:tplc="1D6AD5C8">
      <w:start w:val="1"/>
      <w:numFmt w:val="none"/>
      <w:pStyle w:val="F7-chyba"/>
      <w:lvlText w:val="!! CHYBA !!"/>
      <w:lvlJc w:val="left"/>
      <w:pPr>
        <w:tabs>
          <w:tab w:val="num" w:pos="0"/>
        </w:tabs>
        <w:ind w:left="0" w:firstLine="0"/>
      </w:pPr>
      <w:rPr>
        <w:rFonts w:hint="default"/>
        <w:b/>
        <w:i w:val="0"/>
        <w:color w:val="FF0000"/>
      </w:rPr>
    </w:lvl>
    <w:lvl w:ilvl="1" w:tplc="FFD2B2D4">
      <w:start w:val="1"/>
      <w:numFmt w:val="lowerLetter"/>
      <w:lvlText w:val="%2."/>
      <w:lvlJc w:val="left"/>
      <w:pPr>
        <w:tabs>
          <w:tab w:val="num" w:pos="1440"/>
        </w:tabs>
        <w:ind w:left="1440" w:hanging="360"/>
      </w:pPr>
    </w:lvl>
    <w:lvl w:ilvl="2" w:tplc="0494193C" w:tentative="1">
      <w:start w:val="1"/>
      <w:numFmt w:val="lowerRoman"/>
      <w:lvlText w:val="%3."/>
      <w:lvlJc w:val="right"/>
      <w:pPr>
        <w:tabs>
          <w:tab w:val="num" w:pos="2160"/>
        </w:tabs>
        <w:ind w:left="2160" w:hanging="180"/>
      </w:pPr>
    </w:lvl>
    <w:lvl w:ilvl="3" w:tplc="7F069500" w:tentative="1">
      <w:start w:val="1"/>
      <w:numFmt w:val="decimal"/>
      <w:lvlText w:val="%4."/>
      <w:lvlJc w:val="left"/>
      <w:pPr>
        <w:tabs>
          <w:tab w:val="num" w:pos="2880"/>
        </w:tabs>
        <w:ind w:left="2880" w:hanging="360"/>
      </w:pPr>
    </w:lvl>
    <w:lvl w:ilvl="4" w:tplc="BD0A9F24" w:tentative="1">
      <w:start w:val="1"/>
      <w:numFmt w:val="lowerLetter"/>
      <w:lvlText w:val="%5."/>
      <w:lvlJc w:val="left"/>
      <w:pPr>
        <w:tabs>
          <w:tab w:val="num" w:pos="3600"/>
        </w:tabs>
        <w:ind w:left="3600" w:hanging="360"/>
      </w:pPr>
    </w:lvl>
    <w:lvl w:ilvl="5" w:tplc="AB0C96B2" w:tentative="1">
      <w:start w:val="1"/>
      <w:numFmt w:val="lowerRoman"/>
      <w:lvlText w:val="%6."/>
      <w:lvlJc w:val="right"/>
      <w:pPr>
        <w:tabs>
          <w:tab w:val="num" w:pos="4320"/>
        </w:tabs>
        <w:ind w:left="4320" w:hanging="180"/>
      </w:pPr>
    </w:lvl>
    <w:lvl w:ilvl="6" w:tplc="C328876E" w:tentative="1">
      <w:start w:val="1"/>
      <w:numFmt w:val="decimal"/>
      <w:lvlText w:val="%7."/>
      <w:lvlJc w:val="left"/>
      <w:pPr>
        <w:tabs>
          <w:tab w:val="num" w:pos="5040"/>
        </w:tabs>
        <w:ind w:left="5040" w:hanging="360"/>
      </w:pPr>
    </w:lvl>
    <w:lvl w:ilvl="7" w:tplc="F7F887D0" w:tentative="1">
      <w:start w:val="1"/>
      <w:numFmt w:val="lowerLetter"/>
      <w:lvlText w:val="%8."/>
      <w:lvlJc w:val="left"/>
      <w:pPr>
        <w:tabs>
          <w:tab w:val="num" w:pos="5760"/>
        </w:tabs>
        <w:ind w:left="5760" w:hanging="360"/>
      </w:pPr>
    </w:lvl>
    <w:lvl w:ilvl="8" w:tplc="BC6C1588" w:tentative="1">
      <w:start w:val="1"/>
      <w:numFmt w:val="lowerRoman"/>
      <w:lvlText w:val="%9."/>
      <w:lvlJc w:val="right"/>
      <w:pPr>
        <w:tabs>
          <w:tab w:val="num" w:pos="6480"/>
        </w:tabs>
        <w:ind w:left="6480" w:hanging="180"/>
      </w:pPr>
    </w:lvl>
  </w:abstractNum>
  <w:abstractNum w:abstractNumId="38"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7"/>
  </w:num>
  <w:num w:numId="4">
    <w:abstractNumId w:val="41"/>
  </w:num>
  <w:num w:numId="5">
    <w:abstractNumId w:val="22"/>
  </w:num>
  <w:num w:numId="6">
    <w:abstractNumId w:val="24"/>
  </w:num>
  <w:num w:numId="7">
    <w:abstractNumId w:val="19"/>
  </w:num>
  <w:num w:numId="8">
    <w:abstractNumId w:val="40"/>
  </w:num>
  <w:num w:numId="9">
    <w:abstractNumId w:val="29"/>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9"/>
  </w:num>
  <w:num w:numId="22">
    <w:abstractNumId w:val="36"/>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8"/>
  </w:num>
  <w:num w:numId="28">
    <w:abstractNumId w:val="2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8"/>
  </w:num>
  <w:num w:numId="32">
    <w:abstractNumId w:val="13"/>
  </w:num>
  <w:num w:numId="33">
    <w:abstractNumId w:val="30"/>
  </w:num>
  <w:num w:numId="34">
    <w:abstractNumId w:val="12"/>
  </w:num>
  <w:num w:numId="35">
    <w:abstractNumId w:val="34"/>
  </w:num>
  <w:num w:numId="36">
    <w:abstractNumId w:val="11"/>
  </w:num>
  <w:num w:numId="37">
    <w:abstractNumId w:val="31"/>
  </w:num>
  <w:num w:numId="38">
    <w:abstractNumId w:val="20"/>
  </w:num>
  <w:num w:numId="39">
    <w:abstractNumId w:val="26"/>
  </w:num>
  <w:num w:numId="40">
    <w:abstractNumId w:val="17"/>
  </w:num>
  <w:num w:numId="41">
    <w:abstractNumId w:val="33"/>
  </w:num>
  <w:num w:numId="42">
    <w:abstractNumId w:val="16"/>
  </w:num>
  <w:num w:numId="43">
    <w:abstractNumId w:val="23"/>
  </w:num>
  <w:num w:numId="4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34B23"/>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389F"/>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413A72E5"/>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customStyle="1" w:styleId="Podtitul">
    <w:name w:val="Podtitul"/>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C4C8-F68D-4FA2-BD6E-23EA5290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6934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8093</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Markéta Damková</cp:lastModifiedBy>
  <cp:revision>2</cp:revision>
  <cp:lastPrinted>2015-12-01T02:29:00Z</cp:lastPrinted>
  <dcterms:created xsi:type="dcterms:W3CDTF">2020-04-08T14:13:00Z</dcterms:created>
  <dcterms:modified xsi:type="dcterms:W3CDTF">2020-04-08T14:13:00Z</dcterms:modified>
</cp:coreProperties>
</file>